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Moloney Jacqueline F</w:t>
              </w:r>
            </w:hyperlink>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MKS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MKSI</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80" w:type="dxa"/>
            <w:vAlign w:val="bottom"/>
            <w:gridSpan w:val="3"/>
            <w:vMerge w:val="continue"/>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Borders>
              <w:bottom w:val="single" w:sz="8" w:color="0000EE"/>
            </w:tcBorders>
          </w:tcPr>
          <w:p>
            <w:pPr>
              <w:spacing w:after="0"/>
              <w:rPr>
                <w:sz w:val="6"/>
                <w:szCs w:val="6"/>
                <w:color w:val="auto"/>
              </w:rPr>
            </w:pPr>
          </w:p>
        </w:tc>
        <w:tc>
          <w:tcPr>
            <w:tcW w:w="28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80" w:type="dxa"/>
            <w:vAlign w:val="bottom"/>
            <w:gridSpan w:val="3"/>
            <w:vMerge w:val="continue"/>
          </w:tcPr>
          <w:p>
            <w:pPr>
              <w:spacing w:after="0"/>
              <w:rPr>
                <w:sz w:val="5"/>
                <w:szCs w:val="5"/>
                <w:color w:val="auto"/>
              </w:rPr>
            </w:pPr>
          </w:p>
        </w:tc>
        <w:tc>
          <w:tcPr>
            <w:tcW w:w="14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tcPr>
          <w:p>
            <w:pPr>
              <w:spacing w:after="0"/>
              <w:rPr>
                <w:sz w:val="5"/>
                <w:szCs w:val="5"/>
                <w:color w:val="auto"/>
              </w:rPr>
            </w:pPr>
          </w:p>
        </w:tc>
        <w:tc>
          <w:tcPr>
            <w:tcW w:w="28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200" w:type="dxa"/>
            <w:vAlign w:val="bottom"/>
            <w:tcBorders>
              <w:top w:val="single" w:sz="8" w:color="0000EE"/>
            </w:tcBorders>
          </w:tcPr>
          <w:p>
            <w:pPr>
              <w:spacing w:after="0"/>
              <w:rPr>
                <w:sz w:val="6"/>
                <w:szCs w:val="6"/>
                <w:color w:val="auto"/>
              </w:rPr>
            </w:pPr>
          </w:p>
        </w:tc>
        <w:tc>
          <w:tcPr>
            <w:tcW w:w="700" w:type="dxa"/>
            <w:vAlign w:val="bottom"/>
            <w:tcBorders>
              <w:top w:val="single" w:sz="8" w:color="0000EE"/>
            </w:tcBorders>
          </w:tcPr>
          <w:p>
            <w:pPr>
              <w:spacing w:after="0"/>
              <w:rPr>
                <w:sz w:val="6"/>
                <w:szCs w:val="6"/>
                <w:color w:val="auto"/>
              </w:rPr>
            </w:pPr>
          </w:p>
        </w:tc>
        <w:tc>
          <w:tcPr>
            <w:tcW w:w="2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Pr>
          <w:p>
            <w:pPr>
              <w:spacing w:after="0"/>
              <w:rPr>
                <w:sz w:val="6"/>
                <w:szCs w:val="6"/>
                <w:color w:val="auto"/>
              </w:rPr>
            </w:pPr>
          </w:p>
        </w:tc>
        <w:tc>
          <w:tcPr>
            <w:tcW w:w="28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280" w:type="dxa"/>
            <w:vAlign w:val="bottom"/>
            <w:tcBorders>
              <w:top w:val="single" w:sz="8" w:color="EEEEEE"/>
            </w:tcBorders>
          </w:tcPr>
          <w:p>
            <w:pPr>
              <w:spacing w:after="0"/>
              <w:rPr>
                <w:sz w:val="2"/>
                <w:szCs w:val="2"/>
                <w:color w:val="auto"/>
              </w:rPr>
            </w:pPr>
          </w:p>
        </w:tc>
        <w:tc>
          <w:tcPr>
            <w:tcW w:w="14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980" w:type="dxa"/>
            <w:vAlign w:val="bottom"/>
            <w:gridSpan w:val="2"/>
            <w:vMerge w:val="restart"/>
          </w:tcPr>
          <w:p>
            <w:pPr>
              <w:ind w:left="20"/>
              <w:spacing w:after="0"/>
              <w:rPr>
                <w:sz w:val="20"/>
                <w:szCs w:val="20"/>
                <w:color w:val="auto"/>
              </w:rPr>
            </w:pPr>
            <w:r>
              <w:rPr>
                <w:rFonts w:ascii="Arial" w:cs="Arial" w:eastAsia="Arial" w:hAnsi="Arial"/>
                <w:sz w:val="13"/>
                <w:szCs w:val="13"/>
                <w:color w:val="auto"/>
              </w:rPr>
              <w:t>(First)</w:t>
            </w:r>
          </w:p>
        </w:tc>
        <w:tc>
          <w:tcPr>
            <w:tcW w:w="1460" w:type="dxa"/>
            <w:vAlign w:val="bottom"/>
            <w:vMerge w:val="restart"/>
          </w:tcPr>
          <w:p>
            <w:pPr>
              <w:ind w:left="2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10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05/11/2026</w:t>
            </w:r>
          </w:p>
        </w:tc>
        <w:tc>
          <w:tcPr>
            <w:tcW w:w="28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C/O MKS INC.</w:t>
            </w: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28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 TECH DRIVE</w:t>
            </w: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28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ANDOVER</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01810</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05/11/2026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781.959</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60"/>
              <w:spacing w:after="0"/>
              <w:rPr>
                <w:sz w:val="20"/>
                <w:szCs w:val="20"/>
                <w:color w:val="auto"/>
              </w:rPr>
            </w:pPr>
            <w:r>
              <w:rPr>
                <w:rFonts w:ascii="Times New Roman" w:cs="Times New Roman" w:eastAsia="Times New Roman" w:hAnsi="Times New Roman"/>
                <w:sz w:val="11"/>
                <w:szCs w:val="11"/>
                <w:color w:val="008000"/>
              </w:rPr>
              <w:t>(2)</w:t>
            </w:r>
          </w:p>
        </w:tc>
        <w:tc>
          <w:tcPr>
            <w:tcW w:w="138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7"/>
                <w:szCs w:val="17"/>
                <w:color w:val="0000FF"/>
              </w:rPr>
              <w:t>11,175.156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stock units become fully vested on the day prior to the first annual meeting of shareholders following the date of grant (or if no such meeting is held within 13 months after the date of grant, on the 13 month anniversary of the date of grant).</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contingent right to receive one share of common stock of MKS Inc.</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 Kathryn Rickards,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05/12/2026</w:t>
            </w:r>
          </w:p>
        </w:tc>
        <w:tc>
          <w:tcPr>
            <w:tcW w:w="0" w:type="dxa"/>
            <w:vAlign w:val="bottom"/>
          </w:tcPr>
          <w:p>
            <w:pPr>
              <w:spacing w:after="0"/>
              <w:rPr>
                <w:sz w:val="1"/>
                <w:szCs w:val="1"/>
                <w:color w:val="auto"/>
              </w:rPr>
            </w:pPr>
          </w:p>
        </w:tc>
      </w:tr>
      <w:tr>
        <w:trPr>
          <w:trHeight w:val="87"/>
        </w:trPr>
        <w:tc>
          <w:tcPr>
            <w:tcW w:w="17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720" w:type="dxa"/>
            <w:vAlign w:val="bottom"/>
            <w:tcBorders>
              <w:top w:val="single" w:sz="8" w:color="auto"/>
            </w:tcBorders>
            <w:gridSpan w:val="2"/>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01968" TargetMode="External"/><Relationship Id="rId14" Type="http://schemas.openxmlformats.org/officeDocument/2006/relationships/hyperlink" Target="http://www.sec.gov/cgi-bin/browse-edgar?action=getcompany&amp;CIK=00010495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2026-05-12T14:18:27Z</dcterms:created>
  <dcterms:modified xsi:type="dcterms:W3CDTF">2026-05-12T14:18:27Z</dcterms:modified>
</cp:coreProperties>
</file>